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E4" w:rsidRPr="005B41D7" w:rsidRDefault="00B079E4" w:rsidP="007E5E7D">
      <w:pPr>
        <w:shd w:val="clear" w:color="auto" w:fill="EAEAEA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uk-UA"/>
        </w:rPr>
        <w:t xml:space="preserve">ПІДГОТОВКА ФАХІВЦІВ, ЯКІ НЕ Є ПРАЦІВНИКАМИ 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br/>
      </w:r>
      <w:r w:rsidRPr="005B41D7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uk-UA"/>
        </w:rPr>
        <w:t>ДЕРЖАВНИХ СПЕЦІАЛІЗОВАНИХ УСТАНОВ</w:t>
      </w:r>
    </w:p>
    <w:p w:rsidR="007E5E7D" w:rsidRPr="00B079E4" w:rsidRDefault="007E5E7D" w:rsidP="007E5E7D">
      <w:pPr>
        <w:shd w:val="clear" w:color="auto" w:fill="EAEAEA"/>
        <w:spacing w:after="0" w:line="240" w:lineRule="auto"/>
        <w:ind w:firstLine="851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</w:p>
    <w:p w:rsidR="00B079E4" w:rsidRPr="00B079E4" w:rsidRDefault="00B079E4" w:rsidP="007E5E7D">
      <w:pPr>
        <w:shd w:val="clear" w:color="auto" w:fill="EAEAEA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Харківський НДІСЕ проводить підготовку фахівців, які не є працівниками державних спеціалізованих установ, з метою присвоєння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 та 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підтвердження кваліфікації судового експерта, що здійснюється згідно з Положенням про експертно-кваліфікаційні комісії та атестацію судових експертів, затвердженим наказом Міністерства юстиції України від 0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3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.0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3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.20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1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5 № 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301/5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.</w:t>
      </w:r>
    </w:p>
    <w:p w:rsidR="006E6DFB" w:rsidRPr="005B41D7" w:rsidRDefault="006E6DFB" w:rsidP="006E6DFB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Для присвоєння (підтвердження) кваліфікації судового експерта фахівці, які не є працівниками державних спеціалізованих установ, повинні мати відповідну вищу освіту, освітньо-кваліфікаційний рівень не нижче спеціаліста, пройти підготовку (стажування), знати теоретичні, організаційні і процесуальні питання судової експертизи та методичні положення і практику їх застосування за відповідною експертною спеціальністю.</w:t>
      </w:r>
    </w:p>
    <w:p w:rsidR="006E6DFB" w:rsidRPr="005B41D7" w:rsidRDefault="006E6DFB" w:rsidP="006E6DFB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Фахівець, який має намір пройти підготовку (стажування) в Харківському НДІСЕ, подає: заяву про зарахування на підготовку (стажування); копію диплома про відповідну вищу освіту за освітньо-кваліфікаційним рівнем не нижче спеціаліста з додатком до нього (за наявності також подаються копії дипломів молодшого спеціаліста/бакалавра з додатками до них); відомості про відсутність судимості; копії трудової книжки та першої, другої сторінок паспорта.</w:t>
      </w:r>
    </w:p>
    <w:p w:rsidR="006E6DFB" w:rsidRPr="005B41D7" w:rsidRDefault="006E6DFB" w:rsidP="006E6DFB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Документи для проходження стажування з відповідної(их) експертної(их) спеціальності(ей) з метою підтвердження кваліфікації судового експерта подаються фахівцем до Харківського НДІСЕ не пізніше ніж за 30 днів до закінчення терміну дії свідоцтва про присвоєння кваліфікації судового експерта.</w:t>
      </w:r>
    </w:p>
    <w:p w:rsidR="00206920" w:rsidRPr="005B41D7" w:rsidRDefault="00206920" w:rsidP="007E5E7D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Проведення атестації з метою визначення рівня професійної підготовленос</w:t>
      </w:r>
      <w:bookmarkStart w:id="0" w:name="_GoBack"/>
      <w:bookmarkEnd w:id="0"/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ті фахівців, які не є працівниками державних спеціалізованих установ та мають намір отримати та/або підтвердити кваліфікацію судового експерта, здійснюється Центральною експертно-кваліфікаційною комісією при Міністерстві юстиції У</w:t>
      </w:r>
      <w:r w:rsidR="002576AD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к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раїни.</w:t>
      </w:r>
    </w:p>
    <w:p w:rsidR="004D2E0B" w:rsidRPr="005B41D7" w:rsidRDefault="004D2E0B" w:rsidP="007E5E7D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Фахівці, які не є працівниками державних спеціалізованих установ</w:t>
      </w:r>
      <w:r w:rsidR="006E6DFB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,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 за проходження підготовки (стажування) вносять плату</w:t>
      </w:r>
      <w:r w:rsidR="006E6DFB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 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до </w:t>
      </w:r>
      <w:r w:rsidR="006E6DFB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Харківського НДІСЕ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, розмір якої визначається відповідно до кошторису витрат</w:t>
      </w:r>
      <w:r w:rsidR="006C7E79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:</w:t>
      </w:r>
    </w:p>
    <w:p w:rsidR="004D2E0B" w:rsidRPr="005B41D7" w:rsidRDefault="004D2E0B" w:rsidP="007E5E7D">
      <w:pPr>
        <w:shd w:val="clear" w:color="auto" w:fill="EAEAEA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</w:p>
    <w:tbl>
      <w:tblPr>
        <w:tblW w:w="496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4"/>
        <w:gridCol w:w="1785"/>
        <w:gridCol w:w="1222"/>
        <w:gridCol w:w="1461"/>
        <w:gridCol w:w="2247"/>
      </w:tblGrid>
      <w:tr w:rsidR="005B41D7" w:rsidRPr="002C3404" w:rsidTr="00406E82">
        <w:trPr>
          <w:trHeight w:val="390"/>
          <w:tblCellSpacing w:w="22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C9A" w:rsidRPr="002C3404" w:rsidRDefault="00237C9A" w:rsidP="008A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  <w:t>Види та підвиди судових експертиз</w:t>
            </w:r>
          </w:p>
        </w:tc>
        <w:tc>
          <w:tcPr>
            <w:tcW w:w="7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C9A" w:rsidRPr="002C3404" w:rsidRDefault="00237C9A" w:rsidP="008A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  <w:t>Індекси експертних спеціальностей</w:t>
            </w:r>
          </w:p>
        </w:tc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C9A" w:rsidRPr="002C3404" w:rsidRDefault="00237C9A" w:rsidP="008A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  <w:t>Види експертних спеціальностей</w:t>
            </w:r>
          </w:p>
        </w:tc>
        <w:tc>
          <w:tcPr>
            <w:tcW w:w="2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C9A" w:rsidRPr="002C3404" w:rsidRDefault="008A4465" w:rsidP="00CE7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Розмір плати за 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підготовку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/стажування (грн.)</w:t>
            </w:r>
          </w:p>
        </w:tc>
      </w:tr>
      <w:tr w:rsidR="005B41D7" w:rsidRPr="002C3404" w:rsidTr="00406E82">
        <w:trPr>
          <w:trHeight w:val="224"/>
          <w:tblCellSpacing w:w="22" w:type="dxa"/>
        </w:trPr>
        <w:tc>
          <w:tcPr>
            <w:tcW w:w="7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465" w:rsidRPr="002C3404" w:rsidRDefault="008A4465" w:rsidP="00E64B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465" w:rsidRPr="002C3404" w:rsidRDefault="008A4465" w:rsidP="00E64B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9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465" w:rsidRPr="002C3404" w:rsidRDefault="008A4465" w:rsidP="00E64B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E4" w:rsidRPr="00B079E4" w:rsidRDefault="009D5350" w:rsidP="0041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val="ru-RU"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підготовка 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(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присвоєння кваліфікації судового експерта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E4" w:rsidRPr="00B079E4" w:rsidRDefault="007754EA" w:rsidP="0041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val="ru-RU"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стажування 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(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перш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е</w:t>
            </w:r>
            <w:r w:rsidR="008A4465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підтвердження кваліфікації судового експерта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E4" w:rsidRPr="00B079E4" w:rsidRDefault="00410BE8" w:rsidP="0041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val="ru-RU"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С</w:t>
            </w:r>
            <w:r w:rsidR="007754EA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тажування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 xml:space="preserve"> (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друг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е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і наступн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і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</w:t>
            </w:r>
            <w:r w:rsidR="008A4465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підтверджен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ня</w:t>
            </w:r>
            <w:r w:rsidR="008A4465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кваліфікації судового експерта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)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Інженерно-транспортна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обставин і механізму дорожньо-транспортних пригод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5F065B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uk-UA"/>
              </w:rPr>
              <w:t>12054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,24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7670,88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4748,64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технічного стану транспортних засобів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12054,24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6575,04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4566,00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деталей транспортних засобів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29405,04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15067,80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8584,08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10.4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Транспортно-трасологічні дослідження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19725,12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10684,44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5844,48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Безпеки життєдіяльності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причин та наслідків порушення вимог безпеки життєдіяльності та охорони праці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ru-RU"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ru-RU" w:eastAsia="uk-UA"/>
              </w:rPr>
              <w:t>24291,12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13971,96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10136,52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Будівельно-технічна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10.6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об'єктів нерухомості, будівельних матеріалів, конструкцій та відповідних документів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8218,80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5296,56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3652,80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Земельно-технічна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10.7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Розподіл земель та визначення порядку користування земельними ділянками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5844,48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4018,08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2739,60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Пожежно-технічна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10.8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обставин виникнення і поширення пожеж та дотримання вимог пожежної безпеки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10593,12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7853,52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6209,76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lastRenderedPageBreak/>
              <w:t>Оціночно-будівельна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Визначення оціночної вартості будівельних об'єктів та споруд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6940,32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4566,00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3104,88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Оціночно-земельна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10.14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Оцінка земельних ділянок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7488,24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4931,28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3287,52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Дорожньо-технічна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10.16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Дорожньо-технічні дослідження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21916,80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12602,16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8584,08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Електротехнічна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10.18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технічної експлуатації електроустаткування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25752,24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15159,12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10867,08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Інженерно-екологічна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</w:t>
            </w: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val="ru-RU" w:eastAsia="uk-UA"/>
              </w:rPr>
              <w:t>9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обставин та організаційно-технічних причин і наслідків впливу техногенних джерел на об'єкти довкілля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32692,56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24839,04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12784,8</w:t>
            </w:r>
          </w:p>
        </w:tc>
      </w:tr>
      <w:tr w:rsidR="00B60824" w:rsidRPr="002C3404" w:rsidTr="00406E82">
        <w:trPr>
          <w:tblCellSpacing w:w="22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Економічна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11.1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документів бухгалтерського, податкового обліку і звітності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14793,84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10958,40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6082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8218,80</w:t>
            </w:r>
          </w:p>
        </w:tc>
      </w:tr>
      <w:tr w:rsidR="00406E82" w:rsidRPr="002C3404" w:rsidTr="00406E82">
        <w:trPr>
          <w:tblCellSpacing w:w="22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11.2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документів про економічну діяльність підприємств і організацій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12967,44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11141,04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8766,72</w:t>
            </w:r>
          </w:p>
        </w:tc>
      </w:tr>
      <w:tr w:rsidR="00406E82" w:rsidRPr="002C3404" w:rsidTr="00406E82">
        <w:trPr>
          <w:tblCellSpacing w:w="22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11.3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документів фінансово-кредитних операцій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13332,72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10410,48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7853,52</w:t>
            </w:r>
          </w:p>
        </w:tc>
      </w:tr>
      <w:tr w:rsidR="00406E82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Товарознавча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12.1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Визначення вартості машин, обладнання, сировини та товарів народного споживання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11323,68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5570,52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3378,84</w:t>
            </w:r>
          </w:p>
        </w:tc>
      </w:tr>
      <w:tr w:rsidR="00406E82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Автотоварознавча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12.2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B02DC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Визначення вартості колісних транспортних засобів та розміру збит</w:t>
            </w: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val="ru-RU" w:eastAsia="uk-UA"/>
              </w:rPr>
              <w:t>к</w:t>
            </w: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у, завданого власнику транспортного засобу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6849,00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4200,72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2283,00</w:t>
            </w:r>
          </w:p>
        </w:tc>
      </w:tr>
      <w:tr w:rsidR="00406E82" w:rsidRPr="002C3404" w:rsidTr="00406E82">
        <w:trPr>
          <w:tblCellSpacing w:w="22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Мистецтвознавча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15.1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Мистецтвознавчі дослідження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38628,36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26939,40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406E82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19268,52</w:t>
            </w:r>
          </w:p>
        </w:tc>
      </w:tr>
    </w:tbl>
    <w:p w:rsidR="004A4133" w:rsidRPr="005B41D7" w:rsidRDefault="004A4133" w:rsidP="007E5E7D">
      <w:pPr>
        <w:shd w:val="clear" w:color="auto" w:fill="EAEAEA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</w:p>
    <w:p w:rsidR="00503586" w:rsidRPr="005B41D7" w:rsidRDefault="00503586" w:rsidP="007E5E7D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</w:pPr>
    </w:p>
    <w:p w:rsidR="00B079E4" w:rsidRPr="00B079E4" w:rsidRDefault="00B079E4" w:rsidP="007E5E7D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B079E4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 xml:space="preserve">Довідки за тел. 372 13 23 (учений секретар </w:t>
      </w:r>
      <w:r w:rsidR="00A03D7E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–</w:t>
      </w:r>
      <w:r w:rsidRPr="00B079E4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 xml:space="preserve"> </w:t>
      </w:r>
      <w:r w:rsidR="00A03D7E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Хоша В.В.)</w:t>
      </w:r>
    </w:p>
    <w:p w:rsidR="00F076E2" w:rsidRPr="005B41D7" w:rsidRDefault="00F076E2" w:rsidP="007E5E7D">
      <w:pPr>
        <w:spacing w:after="0" w:line="240" w:lineRule="auto"/>
        <w:rPr>
          <w:color w:val="000000" w:themeColor="text1"/>
        </w:rPr>
      </w:pPr>
    </w:p>
    <w:sectPr w:rsidR="00F076E2" w:rsidRPr="005B4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4"/>
    <w:rsid w:val="00065DA1"/>
    <w:rsid w:val="001E6F87"/>
    <w:rsid w:val="00206920"/>
    <w:rsid w:val="00216988"/>
    <w:rsid w:val="00237C9A"/>
    <w:rsid w:val="002576AD"/>
    <w:rsid w:val="00274BB8"/>
    <w:rsid w:val="002C3404"/>
    <w:rsid w:val="00367AB0"/>
    <w:rsid w:val="00406E82"/>
    <w:rsid w:val="00410BE8"/>
    <w:rsid w:val="004A4133"/>
    <w:rsid w:val="004A6723"/>
    <w:rsid w:val="004D2E0B"/>
    <w:rsid w:val="00503586"/>
    <w:rsid w:val="00530997"/>
    <w:rsid w:val="005502BD"/>
    <w:rsid w:val="00582CDC"/>
    <w:rsid w:val="005871E2"/>
    <w:rsid w:val="005B41D7"/>
    <w:rsid w:val="005E3DB5"/>
    <w:rsid w:val="0061454B"/>
    <w:rsid w:val="006147E7"/>
    <w:rsid w:val="006C7E79"/>
    <w:rsid w:val="006E6DFB"/>
    <w:rsid w:val="0070212B"/>
    <w:rsid w:val="00751F89"/>
    <w:rsid w:val="007754EA"/>
    <w:rsid w:val="007E5E7D"/>
    <w:rsid w:val="0085581E"/>
    <w:rsid w:val="008A4465"/>
    <w:rsid w:val="008E0028"/>
    <w:rsid w:val="008F6755"/>
    <w:rsid w:val="009D5350"/>
    <w:rsid w:val="009F444B"/>
    <w:rsid w:val="00A03D7E"/>
    <w:rsid w:val="00A24C4D"/>
    <w:rsid w:val="00A846B0"/>
    <w:rsid w:val="00AE4698"/>
    <w:rsid w:val="00B02DCC"/>
    <w:rsid w:val="00B079E4"/>
    <w:rsid w:val="00B57563"/>
    <w:rsid w:val="00B60824"/>
    <w:rsid w:val="00C3512D"/>
    <w:rsid w:val="00CB76F4"/>
    <w:rsid w:val="00CE13F8"/>
    <w:rsid w:val="00CE7AC3"/>
    <w:rsid w:val="00D30359"/>
    <w:rsid w:val="00D422A7"/>
    <w:rsid w:val="00DA7326"/>
    <w:rsid w:val="00DB0D2E"/>
    <w:rsid w:val="00EE3C3C"/>
    <w:rsid w:val="00F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408A6A-D273-4B92-884C-3AB55C4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B079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123">
              <w:marLeft w:val="0"/>
              <w:marRight w:val="0"/>
              <w:marTop w:val="0"/>
              <w:marBottom w:val="0"/>
              <w:divBdr>
                <w:top w:val="single" w:sz="6" w:space="4" w:color="BDBDBD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706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8F32-7FC6-4BB3-A67A-865AACEE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2921</Words>
  <Characters>1666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ХНИИСЭ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Дереча Лариса Миколаївна</dc:creator>
  <cp:lastModifiedBy>$ergi0</cp:lastModifiedBy>
  <cp:revision>2</cp:revision>
  <cp:lastPrinted>2015-04-15T06:45:00Z</cp:lastPrinted>
  <dcterms:created xsi:type="dcterms:W3CDTF">2016-12-06T09:12:00Z</dcterms:created>
  <dcterms:modified xsi:type="dcterms:W3CDTF">2016-12-06T09:12:00Z</dcterms:modified>
</cp:coreProperties>
</file>